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AF" w:rsidRPr="008B64AF" w:rsidRDefault="008B64AF" w:rsidP="008B64AF">
      <w:pPr>
        <w:rPr>
          <w:rFonts w:ascii="Times New Roman" w:eastAsia="Times New Roman" w:hAnsi="Times New Roman"/>
          <w:sz w:val="18"/>
          <w:szCs w:val="18"/>
          <w:lang w:val="kk-KZ" w:eastAsia="ru-RU"/>
        </w:rPr>
      </w:pP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>Баға ұсыныстарын сұрату тәсілімен сатып алуды өткізу туралы № 13 хабарландыру 2021 жылғы 22 ақпанда</w:t>
      </w: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>.                                        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2009 жылғы 30 қазандағы № 1729 қаулысымен (енгізілген өзгерістерімен және толықтыруларымен) бекітілген Дәрілік заттар мен медициналық бұйымдарды , фармацевтикалық қызметтерді сатып алуды ұйымдастыру мен өткізудің бекітілген қағидаларына сәйкес 2020 жылға арналған баға ұсыныстарын сұрату тәсілімен сатып алуды өткізу туралы хабарлайды. Әрі Қарай " Ережелер»</w:t>
      </w:r>
    </w:p>
    <w:p w:rsidR="008B64AF" w:rsidRPr="008B64AF" w:rsidRDefault="008B64AF" w:rsidP="008B64AF">
      <w:pPr>
        <w:rPr>
          <w:rFonts w:ascii="Times New Roman" w:eastAsia="Times New Roman" w:hAnsi="Times New Roman"/>
          <w:sz w:val="18"/>
          <w:szCs w:val="18"/>
          <w:lang w:val="kk-KZ" w:eastAsia="ru-RU"/>
        </w:rPr>
      </w:pP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8B64AF" w:rsidRPr="008B64AF" w:rsidRDefault="008B64AF" w:rsidP="008B64AF">
      <w:pPr>
        <w:rPr>
          <w:rFonts w:ascii="Times New Roman" w:eastAsia="Times New Roman" w:hAnsi="Times New Roman"/>
          <w:sz w:val="18"/>
          <w:szCs w:val="18"/>
          <w:lang w:val="kk-KZ" w:eastAsia="ru-RU"/>
        </w:rPr>
      </w:pP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>2021 жылғы 1 наурыз 12 сағат 00 минутқа</w:t>
      </w: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 дейін дәріханада 1 қабат (ғимарат род. мекенжайы бойынша: СҚО, Петропавл қ., Тауфик Мұхамед-Рахимов атындағы к-сі, 27. Байланыс телефоны: 8(7152) 51-56-69</w:t>
      </w:r>
    </w:p>
    <w:p w:rsidR="008B64AF" w:rsidRPr="008B64AF" w:rsidRDefault="008B64AF" w:rsidP="008B64AF">
      <w:pPr>
        <w:rPr>
          <w:rFonts w:ascii="Times New Roman" w:eastAsia="Times New Roman" w:hAnsi="Times New Roman"/>
          <w:sz w:val="18"/>
          <w:szCs w:val="18"/>
          <w:lang w:val="kk-KZ" w:eastAsia="ru-RU"/>
        </w:rPr>
      </w:pP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Конверттерді ашу және қорытындылау </w:t>
      </w: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>2021 жылғы 1 наурызда сағат 14.00-де дәріханада 1 қабат</w:t>
      </w: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 (род ғимараты) мекенжайы бойынша: СҚО, Петропавл қ., Тауфик Мұхамед-Рахимов атындағы к-сі, 27. </w:t>
      </w:r>
    </w:p>
    <w:p w:rsidR="00E86526" w:rsidRPr="008B64AF" w:rsidRDefault="008B64AF" w:rsidP="008B64AF">
      <w:pPr>
        <w:rPr>
          <w:rFonts w:ascii="Times New Roman" w:hAnsi="Times New Roman"/>
          <w:sz w:val="18"/>
          <w:szCs w:val="18"/>
          <w:lang w:val="kk-KZ"/>
        </w:rPr>
      </w:pP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Қорытындылар хаттамасы конверттерді ашқан күннен бастап </w:t>
      </w: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>10 күн ішінде</w:t>
      </w: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 интернет-ресурста орналастырылатын болады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</w:t>
      </w:r>
      <w:r w:rsidR="00E06AF6">
        <w:rPr>
          <w:rFonts w:ascii="Times New Roman" w:hAnsi="Times New Roman"/>
          <w:b/>
          <w:sz w:val="20"/>
          <w:szCs w:val="20"/>
        </w:rPr>
        <w:t>13</w:t>
      </w:r>
      <w:r w:rsidR="00042A6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E06AF6">
        <w:rPr>
          <w:rFonts w:ascii="Times New Roman" w:hAnsi="Times New Roman"/>
          <w:b/>
          <w:sz w:val="20"/>
          <w:szCs w:val="20"/>
        </w:rPr>
        <w:t xml:space="preserve">22 февраля </w:t>
      </w:r>
      <w:r w:rsidR="000C3745">
        <w:rPr>
          <w:rFonts w:ascii="Times New Roman" w:hAnsi="Times New Roman"/>
          <w:b/>
          <w:sz w:val="20"/>
          <w:szCs w:val="20"/>
          <w:lang w:val="kk-KZ"/>
        </w:rPr>
        <w:t>2021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="00E06AF6">
        <w:rPr>
          <w:rFonts w:ascii="Times New Roman" w:hAnsi="Times New Roman"/>
          <w:b/>
          <w:sz w:val="18"/>
          <w:szCs w:val="18"/>
        </w:rPr>
        <w:t xml:space="preserve">                      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E06AF6" w:rsidRPr="00E06AF6">
        <w:rPr>
          <w:rFonts w:ascii="Times New Roman" w:hAnsi="Times New Roman"/>
          <w:b/>
          <w:sz w:val="18"/>
          <w:szCs w:val="18"/>
          <w:lang w:val="kk-KZ"/>
        </w:rPr>
        <w:t xml:space="preserve">1 марта </w:t>
      </w:r>
      <w:r w:rsidRPr="00E06AF6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 w:rsidRPr="00E06AF6">
        <w:rPr>
          <w:rFonts w:ascii="Times New Roman" w:hAnsi="Times New Roman"/>
          <w:b/>
          <w:sz w:val="18"/>
          <w:szCs w:val="18"/>
          <w:lang w:val="kk-KZ"/>
        </w:rPr>
        <w:t>1</w:t>
      </w:r>
      <w:r w:rsidRPr="00E06AF6">
        <w:rPr>
          <w:rFonts w:ascii="Times New Roman" w:hAnsi="Times New Roman"/>
          <w:b/>
          <w:sz w:val="18"/>
          <w:szCs w:val="18"/>
          <w:lang w:val="kk-KZ"/>
        </w:rPr>
        <w:t xml:space="preserve"> года до 12 ч. 00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E06AF6" w:rsidRPr="00E06AF6">
        <w:rPr>
          <w:rFonts w:ascii="Times New Roman" w:hAnsi="Times New Roman"/>
          <w:b/>
          <w:sz w:val="18"/>
          <w:szCs w:val="18"/>
        </w:rPr>
        <w:t xml:space="preserve">1 марта </w:t>
      </w:r>
      <w:r w:rsidRPr="00E06AF6">
        <w:rPr>
          <w:rFonts w:ascii="Times New Roman" w:hAnsi="Times New Roman"/>
          <w:b/>
          <w:sz w:val="18"/>
          <w:szCs w:val="18"/>
        </w:rPr>
        <w:t>202</w:t>
      </w:r>
      <w:r w:rsidR="00551C9B" w:rsidRPr="00E06AF6">
        <w:rPr>
          <w:rFonts w:ascii="Times New Roman" w:hAnsi="Times New Roman"/>
          <w:b/>
          <w:sz w:val="18"/>
          <w:szCs w:val="18"/>
        </w:rPr>
        <w:t>1</w:t>
      </w:r>
      <w:r w:rsidRPr="00E06AF6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E06AF6">
        <w:rPr>
          <w:rFonts w:ascii="Times New Roman" w:hAnsi="Times New Roman"/>
          <w:b/>
          <w:sz w:val="18"/>
          <w:szCs w:val="18"/>
          <w:lang w:val="kk-KZ"/>
        </w:rPr>
        <w:t>Аптеке 1 этаж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992"/>
        <w:gridCol w:w="851"/>
        <w:gridCol w:w="1276"/>
        <w:gridCol w:w="1275"/>
        <w:gridCol w:w="1418"/>
      </w:tblGrid>
      <w:tr w:rsidR="0062055D" w:rsidRPr="008E7A11" w:rsidTr="00F8714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A03187" w:rsidRPr="000C3745" w:rsidTr="00A52F2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87" w:rsidRPr="00E06AF6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Стерилизующее средство RENO-SA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Описание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: жидкая 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рекись водорода, 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пользующаяся для ст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рилизации стерилизу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мых материалов. Одн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разового использов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ния.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Объем: 10 мл / модуль.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Состав: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пероксид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вод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рода (50%).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Использование: 1 касс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та / цикл.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Срок хранения: 12 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сяцев.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Условия хранения: при комнатной температуре от 5 до 30°С.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Упаковка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: RENO-SA10 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>S30/ D50) – 20 ка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сет/коробка.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 xml:space="preserve">30 </w:t>
            </w:r>
            <w:proofErr w:type="spellStart"/>
            <w:r w:rsidRPr="00A03187">
              <w:rPr>
                <w:rFonts w:ascii="Times New Roman" w:hAnsi="Times New Roman"/>
                <w:sz w:val="18"/>
                <w:szCs w:val="18"/>
              </w:rPr>
              <w:t>кор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120 010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3600300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A031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A031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A031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03187" w:rsidRPr="000C3745" w:rsidTr="00A52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Бумага для при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тера</w:t>
            </w:r>
          </w:p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Описание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: Бумага для принтера используется для распечатки инфо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мации о проведенной стерилизации в низк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температурном пла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менном стерилизаторе серии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Reno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. Дополн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тельные чернила не требуются. 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Тип бумаги: </w:t>
            </w:r>
            <w:proofErr w:type="spellStart"/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термо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б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мага</w:t>
            </w:r>
            <w:proofErr w:type="gramEnd"/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Длина: 17 метров.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Ширина: 58 мм.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Условия хранения: 15-30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°С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в условиях сухого помещения.  Хранить 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в дали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от воздействия прямых солнечных и ультрафиолетовых 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чей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Упаковка: 5 рулонов / упаковка.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Срок хранения: 5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r w:rsidRPr="00A03187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16 510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33020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 w:rsidP="00850CF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</w:tr>
      <w:tr w:rsidR="00A03187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Стерилизационные пакеты самокле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ю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щиеся«</w:t>
            </w:r>
            <w:proofErr w:type="spell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A03187" w:rsidRPr="00E06AF6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30 </w:t>
            </w:r>
            <w:proofErr w:type="spell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  <w:proofErr w:type="spell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 43 см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 xml:space="preserve">Назначение: 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Упак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вочный материал для стерилизации медици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ских изделий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Описание: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Стерилиз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ционные пакеты сам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клеящиеся предназн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чены для упаковки 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дицинских изделий, подл</w:t>
            </w:r>
            <w:bookmarkStart w:id="0" w:name="_GoBack"/>
            <w:bookmarkEnd w:id="0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ежащих паровой,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этиленоксидной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и ст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рилизации формальд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гидом, а также для по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держания стерильности изделий после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зации. Стерилизацио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ные пакеты изготовлены из медицинской крафт-бумаги и прозрачной пластиковой пленки, 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торая состоит из двух слоев полиэст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ра/полипропилена, на внутреннюю повер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х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ность пакета нанесен клей. На бумажную сторону пакета помещ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ны индикаторы проце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са стерилизации. Пак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ты легко упаковываю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ся, а индикатор испол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ь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зуются для различения обработанных и необр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ботанных пакетов.  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менение цвета индик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тора на пакете сигнал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зирует о пр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хождении цикла стерилизации, но не является маркером эффективности цикла стерилизации. В соо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ветствии с ISO 11140-1, индикатор, использу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мый при производстве пакетов, относится к 1 классу. Прозрачная пл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стиковая пленка пре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ставляет собой плоский экран для визуального контроля медицинских изделий. Стерилизац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онные пакеты сам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клеящиеся соответс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вуют требованиям 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дицинской промышле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ности к высокому кач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lastRenderedPageBreak/>
              <w:t>ству, гигиене и безопа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ности. Не содержат св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нец, тяжелые металлы и токсичные материалы.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 xml:space="preserve">Особенности: 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Стерил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зационные пакеты с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моклеящиеся имеют прозрачный плоский экран и клеевую вставку для склеивания пакета, используются для уп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ковки изделий при п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ровой, </w:t>
            </w:r>
            <w:proofErr w:type="spell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этиленоксидной</w:t>
            </w:r>
            <w:proofErr w:type="spell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 и стерилизации фо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мальдегидом. В по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тверждение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обработки стерилизацией цвет индикатора изменяется: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- при стерилизации 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ром: из </w:t>
            </w:r>
            <w:proofErr w:type="spellStart"/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розового</w:t>
            </w:r>
            <w:proofErr w:type="spellEnd"/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в 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ричневый/черный;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 xml:space="preserve">- при стерилизации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эт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леноксидом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: из зеленого в 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желтый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>/оранжевый;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 xml:space="preserve">- при стерилизации формальдегидом: из красного 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зеленый.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Условия стерилиз</w:t>
            </w: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ции: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Условия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зации должны опред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ляться конечным пол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ь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зователем в отношении стерилизуемого мат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риала.</w:t>
            </w:r>
          </w:p>
          <w:p w:rsidR="00A03187" w:rsidRPr="00E06AF6" w:rsidRDefault="00A03187" w:rsidP="00A52F2A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 xml:space="preserve">Условия хранения: 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При температуре не выше 25</w:t>
            </w:r>
            <w:proofErr w:type="gram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°С</w:t>
            </w:r>
            <w:proofErr w:type="gram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 и макс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мальной влажности не более 70%. Пакеты до и после стерилизации должны храниться в сухом, хорошо прове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риваемом месте, защ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щенном от попадания прямых солнечных л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чей. Не допускается использовать пакет, если бумажная сторона пакета влажная, в этом случае пакет не может больше быть использ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ван для стерилизации.</w:t>
            </w:r>
          </w:p>
          <w:p w:rsidR="00A03187" w:rsidRPr="00E06AF6" w:rsidRDefault="00A03187" w:rsidP="00A52F2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Срок хранения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: 5 лет.</w:t>
            </w:r>
          </w:p>
          <w:p w:rsidR="00A03187" w:rsidRPr="00E06AF6" w:rsidRDefault="00A03187" w:rsidP="00A52F2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В упаковке 200 шт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3 </w:t>
            </w:r>
            <w:proofErr w:type="spellStart"/>
            <w:r w:rsidRPr="00A03187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29 090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87270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</w:tr>
      <w:tr w:rsidR="00A03187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Стерилизационные пакеты самокле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ю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щиеся «</w:t>
            </w:r>
            <w:proofErr w:type="spell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 19 </w:t>
            </w:r>
            <w:proofErr w:type="spell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  <w:proofErr w:type="spell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 34 см.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Назначение: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Упак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вочный материал для стерилизации медици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ских изделий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Описание: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Стерилиз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ционные пакеты сам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клеящиеся предназн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чены для упаковки 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дицинских изделий, подлежащих паровой,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этиленоксидной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и ст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рилизации формальд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гидом, а также для по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держания стерильности изделий после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зации. Стерилизацио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lastRenderedPageBreak/>
              <w:t>ные пакеты изготовлены из медицинской крафт-бумаги и прозрачной пластиковой пленки, 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торая состоит из двух слоев полиэст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ра/полипропилена, на внутреннюю повер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х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ность пакета нанесен клей. На бумажную сторону пакета помещ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ны индикаторы проце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са стерилизации. Пак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ты легко упаковываю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ся, а индикатор испол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ь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зуются для различения обработанных и необр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ботанных пакетов.  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менение цвета индик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тора на пакете сигнал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зирует о пр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хождении цикла стерилизации, но не является маркером эффективности цикла стерилизации. В соо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ветствии с ISO 11140-1, индикатор, использу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мый при производстве пакетов, относится к 1 классу. Прозрачная пл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стиковая пленка пре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ставляет собой плоский экран для визуального контроля медицинских изделий. Стерилизац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онные пакеты сам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клеящиеся соответс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вуют требованиям 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дицинской промышле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ности к высокому кач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ству, гигиене и безопа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ности. Не содержат св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нец, тяжелые металлы и токсичные материалы.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Особенности: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зационные пакеты 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моклеящиеся имеют прозрачный плоский экран и клеевую вставку для склеивания пакета, используются для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ковки изделий при 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ровой,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этиленоксидной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и стерилизации фо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мальдегидом. В по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тверждение обработки стерилизацией цвет индикатора изменяется: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- при стерилизации 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ром: из </w:t>
            </w:r>
            <w:proofErr w:type="spellStart"/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розового</w:t>
            </w:r>
            <w:proofErr w:type="spellEnd"/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в 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ричневый/черный;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 xml:space="preserve">- при стерилизации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эт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леноксидом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: из зеленого в 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желтый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>/оранжевый;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 xml:space="preserve">- при стерилизации формальдегидом: из красного 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зеленый.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Условия стерилиз</w:t>
            </w: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ции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: Условия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зации должны опред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lastRenderedPageBreak/>
              <w:t>ляться конечным пол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ь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зователем в отношении стерилизуемого мат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риала.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Условия хранения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: При температуре не выше 25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°С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и макс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мальной влажности не более 70%. Пакеты до и после стерилизации должны храниться в сухом, хорошо прове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риваемом месте, защ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щенном от попадания прямых солнечных 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чей. Не допускается использовать пакет, если бумажная сторона пакета влажная, в этом случае пакет не может больше быть использ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ван для стерилизации.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Срок хранения: 5 лет.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В упаковке 200 шт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1D5839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3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15 080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45240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187" w:rsidRPr="000C3745" w:rsidTr="00A52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Нетканое полотно «</w:t>
            </w:r>
            <w:proofErr w:type="spell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45 gsm60 </w:t>
            </w:r>
            <w:proofErr w:type="spell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  <w:proofErr w:type="spell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 60 см.</w:t>
            </w:r>
          </w:p>
          <w:p w:rsidR="00A03187" w:rsidRPr="00E06AF6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Назначение: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Упак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вочный материал для стерилизации медици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ских изделий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Описание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: Нетканое полотно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предназначено для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ковки стерилизуемых материалов, таких как подносы, хирургические наборы, подлежащих стерилизации паром,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этиленоксидом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, фо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мальдегидом, плазмой (без содержания целл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ю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лозы), а также для по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держания стерильности изделий после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зации. Нетканое поло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предста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ляет собой листы мед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цинской оберточной бумаги, обладающей бактериальными бар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ь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ерными свойствами и специальной структурой пор, подходящей для упаковки материалов различных характер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стик и размеров.  В 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висимости от размера, веса и вида стерилизу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мого материала испол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ь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зуется соответствующий размер листов и пло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ность нетканого поло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на в соответствии с 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струкцией по эксплу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тации. Для проверки процесса стерилизации внутрь упаковки пом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щаются индикаторные полоски. Нетканое 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пре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почтительнее ткани из-за меньшего разм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ра </w:t>
            </w:r>
            <w:r w:rsidRPr="00E06AF6">
              <w:rPr>
                <w:rFonts w:ascii="Times New Roman" w:hAnsi="Times New Roman"/>
                <w:sz w:val="18"/>
                <w:szCs w:val="18"/>
              </w:rPr>
              <w:lastRenderedPageBreak/>
              <w:t>пор. Чтобы предотвр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тить проникновение микроорганизмов и обеспечить более 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дежную и плотную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ковку, необходимо в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ы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полнить двойную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ковку. Для закрытия листов упаковочного материала используется стерилиз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ционная лента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». Нетканое полотно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явл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я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ется продукцией одн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разового использования. В случае повторения операции стерилизации необходимо заменить упаковочный материал.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Особенности: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Нетканое полотно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по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ходит для стерилизации плазмой (без содерж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ния целлюлозы).  Легко адаптируется к кассетам различных форм и ра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меров, обеспечивая 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личное проникновение при различных методах стерилизации. Нетканое полотно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ковано в прозрачную полиэтиленовую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ковку (внутренняя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ковка), а она в карто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ные коробки (внешняя упаковка). В случае использования неткан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го полотна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», внешняя упаковка должна быть сначала удалена из рабочей ср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ды, затем внутренняя упаковка должна быть уд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лена на рабочем месте. Стерилизованная упаковка должна хр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ниться в специальных помещениях на полках вдали от прямых со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нечных лучей, влажн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сти и мест, подверже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ных риску загря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нения. Нетканое полотно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сохраняет бактериальные барье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ные свойства в течение 6 месяцев при хранении в рекомендуемых усл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виях. 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Условия стерилиз</w:t>
            </w: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ции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: Условия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зации должны опред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ляться конечным пол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ь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зователем в отношении стерилизуемого мат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риала.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В упаковке 100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8 </w:t>
            </w:r>
            <w:proofErr w:type="spellStart"/>
            <w:r w:rsidRPr="00A03187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12 290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3187" w:rsidRPr="00A03187" w:rsidRDefault="00A03187" w:rsidP="001D583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</w:t>
            </w:r>
            <w:r w:rsidR="001D583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98320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</w:tr>
      <w:tr w:rsidR="00A03187" w:rsidRPr="000C3745" w:rsidTr="00A52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Нетканое полотно 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«</w:t>
            </w:r>
            <w:proofErr w:type="spell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  <w:p w:rsidR="00A03187" w:rsidRPr="00E06AF6" w:rsidRDefault="00A03187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A03187" w:rsidRPr="00E06AF6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 xml:space="preserve">45 gsm100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100 см.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Назначение: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Упак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вочный материал для стерилизации медици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ских изделий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Описание: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Нетканое полотно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предназначено для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ковки стерилизуемых материалов, таких как подносы, хирургические наборы, подлежащих стерилизации паром,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этиленоксидом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, фо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мальдегидом, плазмой (без содержания целл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ю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лозы), а также для по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держания стерильности изделий после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зации. Нетканое поло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предста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ляет собой листы мед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цинской оберточной бумаги, обладающей бактериальными бар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ь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ерными свойствами и специальной структурой пор, подходящей для упаковки материалов различных характер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стик и размеров.  В 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висимости от размера, веса и вида стерилизу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мого материала испол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ь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зуется соответствующий размер листов и пло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ность нетканого поло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на в соответствии с 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струкцией по эксплу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тации. Для проверки процесса стерилизации внутрь упаковки пом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щаются индикаторные полоски. Нетканое 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пре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почтительнее ткани из-за меньшего разм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ра пор. Чтобы предотвр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тить проникновение микроорганизмов и обеспечить более 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дежную и плотную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ковку, необходимо в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ы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полнить двойную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ковку. Для закрытия листов упаковочного материала используется стерилиз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ционная лента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». Нетканое полотно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явл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я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ется продукцией одн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разового использования. В случае повторения операции стерилизации необходимо заменить упаковочный материал.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Особенности: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Нетканое полотно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по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ходит для стерилизации плазмой (без содерж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ния целлюлозы).  Легко </w:t>
            </w:r>
            <w:r w:rsidRPr="00E06AF6">
              <w:rPr>
                <w:rFonts w:ascii="Times New Roman" w:hAnsi="Times New Roman"/>
                <w:sz w:val="18"/>
                <w:szCs w:val="18"/>
              </w:rPr>
              <w:lastRenderedPageBreak/>
              <w:t>адаптируется к кассетам различных форм и ра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меров, обеспечивая 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личное проникновение при различных методах стерилизации. Нетканое полотно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ковано в прозрачную полиэтиленовую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ковку (внутренняя уп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ковка), а она в карто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ные коробки (внешняя упаковка). В случае использования неткан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го полотна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», внешняя упаковка должна быть сначала удалена из рабочей ср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ды, затем внутренняя упаковка должна быть уд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лена на рабочем месте. Стерилизованная упаковка должна хр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ниться в специальных помещениях на полках вдали от прямых со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нечных лучей, влажн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сти и мест, подверже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ных риску загря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нения. Нетканое полотно «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Sterilux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>» сохраняет бактериальные барье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ные свойства в течение 6 месяцев при хранении в рекомендуемых усл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виях. 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Условия стерилиз</w:t>
            </w: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ции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: Условия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зации должны опред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ляться конечным пол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ь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зователем в отношении стерилизуемого мат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риала.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В упаковке 50 шт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8 </w:t>
            </w:r>
            <w:proofErr w:type="spellStart"/>
            <w:r w:rsidRPr="00A03187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41 120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328960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187" w:rsidRPr="000C3745" w:rsidTr="00A52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87" w:rsidRPr="00E06AF6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Лента химическ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го индикатора</w:t>
            </w:r>
          </w:p>
          <w:p w:rsidR="00A03187" w:rsidRPr="00E06AF6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RENO-CIT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Назначение: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контроль 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низкотемпературной плазменной стерилиз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ции и </w:t>
            </w:r>
            <w:proofErr w:type="spell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этиленоксидной</w:t>
            </w:r>
            <w:proofErr w:type="spell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 стерилизации.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Особенности: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изменяет цвет с красного 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же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тый под воздействием паров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пероксида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вод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рода. 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Применение: размещ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ется внутри каждой упаковки со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зуемыми инструмент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ми для проверки успе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ш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ности стерилизации под воздействием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пероксида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водорода.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bCs/>
                <w:sz w:val="18"/>
                <w:szCs w:val="18"/>
              </w:rPr>
              <w:t>Комплект поставки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: 5 рулонов в упаковке.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Срок хранения: 2 года.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Условия хранения: ко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натная температура (15-30°С) в условиях сухого помещения. 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Хранить 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в дали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от во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lastRenderedPageBreak/>
              <w:t>действия высокой те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пературы, высокой влажности,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зующего средства и прямых солнечных 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чей.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3 </w:t>
            </w:r>
            <w:proofErr w:type="spellStart"/>
            <w:r w:rsidRPr="00A03187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148 510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445530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187" w:rsidRPr="000C3745" w:rsidTr="00A52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87" w:rsidRPr="00E06AF6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Полоска химич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ского индикатора</w:t>
            </w:r>
          </w:p>
          <w:p w:rsidR="00A03187" w:rsidRPr="00E06AF6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RENO-CIS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Назначение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: контроль н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изкотемпературной плазменной стерилиз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ции и </w:t>
            </w:r>
            <w:proofErr w:type="spell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этиленоксидной</w:t>
            </w:r>
            <w:proofErr w:type="spell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 стерилизации.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sz w:val="18"/>
                <w:szCs w:val="18"/>
              </w:rPr>
              <w:t>Особенности: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изменяет цвет с красного 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же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тый под воздействием паров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пероксида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вод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рода. 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Применение: размещ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ется внутри каждой упаковки со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зуемыми инструмент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ми для проверки успе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ш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ности стерилизации под воздействием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пероксида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водорода.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bCs/>
                <w:sz w:val="18"/>
                <w:szCs w:val="18"/>
              </w:rPr>
              <w:t>Комплект поставки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: 250 </w:t>
            </w:r>
            <w:proofErr w:type="spellStart"/>
            <w:proofErr w:type="gramStart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шт</w:t>
            </w:r>
            <w:proofErr w:type="spellEnd"/>
            <w:proofErr w:type="gramEnd"/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 xml:space="preserve"> в уп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bCs/>
                <w:sz w:val="18"/>
                <w:szCs w:val="18"/>
              </w:rPr>
              <w:t>ковке.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>Срок хранения: 2 года.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Условия хранения: Комнатная температура (15-30°С) в условиях сухого помещения. </w:t>
            </w:r>
          </w:p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Хранить </w:t>
            </w:r>
            <w:proofErr w:type="gramStart"/>
            <w:r w:rsidRPr="00E06AF6">
              <w:rPr>
                <w:rFonts w:ascii="Times New Roman" w:hAnsi="Times New Roman"/>
                <w:sz w:val="18"/>
                <w:szCs w:val="18"/>
              </w:rPr>
              <w:t>в дали</w:t>
            </w:r>
            <w:proofErr w:type="gram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от во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действия высокой те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м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пературы, высокой влажности, стерил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зующего сре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д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ства и прямых солнечных л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у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чей.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proofErr w:type="spellStart"/>
            <w:r w:rsidRPr="00A03187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57 010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171030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187" w:rsidRPr="000C3745" w:rsidTr="00503F1F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87" w:rsidRPr="00E06AF6" w:rsidRDefault="00A03187" w:rsidP="00503F1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Дренажная сист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 </w:t>
            </w:r>
            <w:proofErr w:type="spellStart"/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однобаночная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A52F2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Дренажная сист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 </w:t>
            </w:r>
            <w:proofErr w:type="spellStart"/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однобаночная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15500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930000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187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503F1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Костный воск 2,5 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A52F2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Костный воск 2,5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1490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187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Серджисел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мат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риал хирургич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ский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гемостатич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ский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рассасыва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ю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щийся 10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20см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Серджисел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материал хирургический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гемост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тический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рассасыва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>ю</w:t>
            </w:r>
            <w:r w:rsidRPr="00E06AF6">
              <w:rPr>
                <w:rFonts w:ascii="Times New Roman" w:hAnsi="Times New Roman"/>
                <w:sz w:val="18"/>
                <w:szCs w:val="18"/>
              </w:rPr>
              <w:t xml:space="preserve">щийся 10 </w:t>
            </w:r>
            <w:proofErr w:type="spellStart"/>
            <w:r w:rsidRPr="00E06AF6">
              <w:rPr>
                <w:rFonts w:ascii="Times New Roman" w:hAnsi="Times New Roman"/>
                <w:sz w:val="18"/>
                <w:szCs w:val="18"/>
              </w:rPr>
              <w:t>x</w:t>
            </w:r>
            <w:proofErr w:type="spellEnd"/>
            <w:r w:rsidRPr="00E06AF6">
              <w:rPr>
                <w:rFonts w:ascii="Times New Roman" w:hAnsi="Times New Roman"/>
                <w:sz w:val="18"/>
                <w:szCs w:val="18"/>
              </w:rPr>
              <w:t xml:space="preserve"> 20см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150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15400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2310000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187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503F1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Устройство для активного дрен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рования ран одн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кратного примен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ния стерильное, емкость гофрир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ванного баллона 250 мл (Гармошка)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A52F2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Устройство для акти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ного дренирования ран однократного примен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ния стерильное, емкость гофрированного балл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250 мл (Гармошка)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 xml:space="preserve">100 </w:t>
            </w:r>
            <w:proofErr w:type="spellStart"/>
            <w:r w:rsidRPr="00A03187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1700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187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503F1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Устройство для активного дрен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рования ран одн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кратного примен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ния стерильное, емкость гофрир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ванного баллона 500 мл (Гармошка)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A52F2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Устройство для акти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ного дренирования ран однократного примен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ния стерильное, емкость гофрированного балл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500 мл (Гармошка)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 xml:space="preserve">100 </w:t>
            </w:r>
            <w:proofErr w:type="spellStart"/>
            <w:proofErr w:type="gramStart"/>
            <w:r w:rsidRPr="00A03187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187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503F1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Эндопротез-сетка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из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полипропелен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вых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мононитей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Эсфил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стандарт 15*15см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A52F2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Эндопротез-сетка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из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полипропеленовых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нонитей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Эсфил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стандарт 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15*15см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10 </w:t>
            </w:r>
            <w:proofErr w:type="spellStart"/>
            <w:proofErr w:type="gram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9300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187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503F1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Эндопротез-сетка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из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полипропелен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вых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мононитей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Эсфил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стандарт 30*30см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E06AF6" w:rsidRDefault="00A03187" w:rsidP="00A52F2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Эндопротез-сетка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из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полипропеленовых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нонитей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Эсфил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стандарт 30*30см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</w:t>
            </w:r>
            <w:proofErr w:type="spellStart"/>
            <w:proofErr w:type="gram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hAnsi="Times New Roman"/>
                <w:sz w:val="18"/>
                <w:szCs w:val="18"/>
              </w:rPr>
            </w:pPr>
            <w:r w:rsidRPr="00A03187">
              <w:rPr>
                <w:rFonts w:ascii="Times New Roman" w:hAnsi="Times New Roman"/>
                <w:sz w:val="18"/>
                <w:szCs w:val="18"/>
              </w:rPr>
              <w:t>25000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03187" w:rsidRPr="00A03187" w:rsidRDefault="00A03187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0318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A03187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A03187" w:rsidRDefault="00A03187" w:rsidP="00A52F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2F2A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0C3745" w:rsidRDefault="00A52F2A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E06AF6" w:rsidRDefault="00A52F2A" w:rsidP="00A52F2A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Универсальные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запирающиеся  дренажные катет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ры 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Resolve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ма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керной меткой Длина катетера 25 см. Размер катет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ра 10F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E06AF6" w:rsidRDefault="00A52F2A" w:rsidP="00A52F2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Катетер дренажный универсальный зап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рающийся. Наличие выпрямителя кончика. Встроенная в стенку катетера платиновая метка 5мм (опция). М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териал катетера пол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уретан, устойчивый к изломам. Наличие сульфата бария в сост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ве полиуретан для в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зуализации. Материал металлической канюли нержавеющая сталь, совместимость с пр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водником 0.038", ди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тальный 1"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эхогенный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. Материал иглы-троакара нержавеющая сталь. Кончик стилета трехгранный. Длина катетера 15,25, 40 см. Наличие 7 дренажных отверстий для катетеров 6.5F, 8 отверстий для катетеров 8.5F, 10F, 12F, 9 отверстий для катет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ров 14F, расположенных по спирали. Площадь дренажного отверстия 0.0060дюймов</w:t>
            </w:r>
            <w:proofErr w:type="gram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.к</w:t>
            </w:r>
            <w:proofErr w:type="gram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в. 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щая площадь дрена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ных отверстий 0.048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дюймов.кв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. Конфигур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ция кончика прямой или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Pigtail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Размер катетера 6F, 8F, 10F, 12F, 14F. Наличие гидрофильного покрытия </w:t>
            </w:r>
            <w:proofErr w:type="gram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дистальных</w:t>
            </w:r>
            <w:proofErr w:type="gram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20см. Цветовая код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ровка втулки катетера. Наличие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репозиционн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го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устройства для ра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блокировки катетера в наборе.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A03187" w:rsidRDefault="00A52F2A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52F2A" w:rsidRPr="00A03187" w:rsidRDefault="00A52F2A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2F2A" w:rsidRPr="00A03187" w:rsidRDefault="00A52F2A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52F2A" w:rsidRPr="00A03187" w:rsidRDefault="00A52F2A" w:rsidP="00A52F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52F2A" w:rsidRPr="00A03187" w:rsidRDefault="00A52F2A" w:rsidP="00A52F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2F2A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0C3745" w:rsidRDefault="00A52F2A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E06AF6" w:rsidRDefault="00A52F2A" w:rsidP="00A52F2A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Универсальные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запирающиеся  дренажные катет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ры 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Resolve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на катетера 25 см. Размер катет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ра 8,5F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E06AF6" w:rsidRDefault="00A52F2A" w:rsidP="00A52F2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Катетер дренажный универсальный зап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рающийся. Наличие выпрямителя кончика</w:t>
            </w:r>
            <w:proofErr w:type="gram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.. </w:t>
            </w:r>
            <w:proofErr w:type="gram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Материал катетера п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лиуретан, устойчивый к изломам. Наличие сульфата бария в сост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ве полиуретан для в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зуализации. Материал металлической канюли нержавеющая сталь, совместимость с пр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водником 0.038", ди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тальный 1"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эхогенный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. Материал иглы-троакара нержавеющая сталь. Кончик стилета трехгранный. Длина катетера 15,25.40 см. Наличие 7 дренажных отверстий для катетеров 6.5F, 8 отверстий для катетеров 8.5F, 10F, 12F, 9 отверстий для катет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ров 14F, расположенных по спирали. Площадь дренажного отверстия 0.0060дюймов</w:t>
            </w:r>
            <w:proofErr w:type="gram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.к</w:t>
            </w:r>
            <w:proofErr w:type="gram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в. 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щая площадь дрена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ных отверстий 0.048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дюймов.кв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. Конфигур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ция кончика прямой или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Pigtail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Размер катетера 6F, 8F, 10F, 12F, 14F. Наличие гидрофильного покрытия </w:t>
            </w:r>
            <w:proofErr w:type="gram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дистальных</w:t>
            </w:r>
            <w:proofErr w:type="gram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20см. Цветовая код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ровка втулки катетера. Наличие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репозиционн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го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устройства для ра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блокировки катетера в наборе.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A03187" w:rsidRDefault="00A52F2A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30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52F2A" w:rsidRPr="00A03187" w:rsidRDefault="00A52F2A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2F2A" w:rsidRPr="00A03187" w:rsidRDefault="00A52F2A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1170000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52F2A" w:rsidRPr="00A03187" w:rsidRDefault="00A52F2A" w:rsidP="00A52F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52F2A" w:rsidRPr="00A03187" w:rsidRDefault="00A52F2A" w:rsidP="00A52F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2F2A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0C3745" w:rsidRDefault="00A52F2A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E06AF6" w:rsidRDefault="00A52F2A" w:rsidP="00A52F2A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Универсальные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запирающиеся  дренажные катет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ры 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Resolve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на катетера 25 см. Размер катет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ра 14F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E06AF6" w:rsidRDefault="00A52F2A" w:rsidP="00A52F2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Катетер дренажный универсальный зап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рающийся. Наличие выпрямителя кончика</w:t>
            </w:r>
            <w:proofErr w:type="gram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.. </w:t>
            </w:r>
            <w:proofErr w:type="gram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Материал катетера п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лиуретан, устойчивый к изломам. Наличие сульфата бария в сост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ве полиуретан для в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зуализации. Материал металлической канюли нержавеющая сталь, совместимость с пр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водником 0.038", ди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тальный 1"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эхогенный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. Материал иглы-троакара нержавеющая сталь. Кончик стилета трехгранный. Длина катетера 15,25.40 см. Наличие 7 дренажных отверстий для катетеров 6.5F, 8 отверстий для катетеров 8.5F, 10F, 12F, 9 отверстий для катет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ров 14F, расположенных по спирали. Площадь дренажного отверстия 0.0060дюймов</w:t>
            </w:r>
            <w:proofErr w:type="gram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.к</w:t>
            </w:r>
            <w:proofErr w:type="gram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в. 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щая площадь дрена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ных отверстий 0.048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дюймов.кв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. Конфигур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ция кончика прямой или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Pigtail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Размер катетера 6F, 8F, 10F, 12F, 14F. Наличие гидрофильного покрытия </w:t>
            </w:r>
            <w:proofErr w:type="gram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дистальных</w:t>
            </w:r>
            <w:proofErr w:type="gram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20см. Цветовая код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ровка втулки катетера. Наличие </w:t>
            </w:r>
            <w:proofErr w:type="spellStart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репозиционн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го</w:t>
            </w:r>
            <w:proofErr w:type="spellEnd"/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устройства для ра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E06AF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блокировки катетера в наборе.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2A" w:rsidRPr="00A03187" w:rsidRDefault="00A52F2A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52F2A" w:rsidRPr="00A03187" w:rsidRDefault="00A52F2A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2F2A" w:rsidRPr="00A03187" w:rsidRDefault="00DF233A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52F2A" w:rsidRPr="00A03187" w:rsidRDefault="00A52F2A" w:rsidP="00A52F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52F2A" w:rsidRPr="00A03187" w:rsidRDefault="00A52F2A" w:rsidP="00A52F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40ABE" w:rsidRPr="000C3745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0C3745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0C3745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0C3745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0C3745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0C3745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9342D"/>
    <w:rsid w:val="000A0166"/>
    <w:rsid w:val="000A1DF2"/>
    <w:rsid w:val="000A786B"/>
    <w:rsid w:val="000C3745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81C85"/>
    <w:rsid w:val="00182020"/>
    <w:rsid w:val="001931DF"/>
    <w:rsid w:val="001A53EB"/>
    <w:rsid w:val="001A5F98"/>
    <w:rsid w:val="001B0D26"/>
    <w:rsid w:val="001C1282"/>
    <w:rsid w:val="001C4792"/>
    <w:rsid w:val="001D0D24"/>
    <w:rsid w:val="001D5839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6058F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D7B85"/>
    <w:rsid w:val="003E1D48"/>
    <w:rsid w:val="003E4AF3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634C7"/>
    <w:rsid w:val="00466318"/>
    <w:rsid w:val="00467E82"/>
    <w:rsid w:val="00474D16"/>
    <w:rsid w:val="0047534D"/>
    <w:rsid w:val="00480D5B"/>
    <w:rsid w:val="004906CD"/>
    <w:rsid w:val="004A0449"/>
    <w:rsid w:val="004B04AB"/>
    <w:rsid w:val="004B124C"/>
    <w:rsid w:val="004B292F"/>
    <w:rsid w:val="004B53BE"/>
    <w:rsid w:val="004B5682"/>
    <w:rsid w:val="004B7381"/>
    <w:rsid w:val="004C6664"/>
    <w:rsid w:val="005010BF"/>
    <w:rsid w:val="00503F1F"/>
    <w:rsid w:val="0050604D"/>
    <w:rsid w:val="00510D7F"/>
    <w:rsid w:val="00522ED1"/>
    <w:rsid w:val="00525F1C"/>
    <w:rsid w:val="00526595"/>
    <w:rsid w:val="0053761F"/>
    <w:rsid w:val="0054080B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56D5"/>
    <w:rsid w:val="005C1032"/>
    <w:rsid w:val="005C2A57"/>
    <w:rsid w:val="005C2FC5"/>
    <w:rsid w:val="005D56BD"/>
    <w:rsid w:val="005E0B1C"/>
    <w:rsid w:val="005E24AC"/>
    <w:rsid w:val="005E3BC1"/>
    <w:rsid w:val="005E5557"/>
    <w:rsid w:val="006006F8"/>
    <w:rsid w:val="006118A5"/>
    <w:rsid w:val="00613F9A"/>
    <w:rsid w:val="0061592C"/>
    <w:rsid w:val="006167CF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E56BB"/>
    <w:rsid w:val="006F0D5E"/>
    <w:rsid w:val="007056A6"/>
    <w:rsid w:val="007064C0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2385"/>
    <w:rsid w:val="007A2E79"/>
    <w:rsid w:val="007A2F4D"/>
    <w:rsid w:val="007A65D4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B64AF"/>
    <w:rsid w:val="008C106E"/>
    <w:rsid w:val="008C1B57"/>
    <w:rsid w:val="008C58D6"/>
    <w:rsid w:val="008D30A1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749B2"/>
    <w:rsid w:val="00980539"/>
    <w:rsid w:val="0099196C"/>
    <w:rsid w:val="00992677"/>
    <w:rsid w:val="00995DD7"/>
    <w:rsid w:val="00997A33"/>
    <w:rsid w:val="009A4446"/>
    <w:rsid w:val="009B03A2"/>
    <w:rsid w:val="009C12B0"/>
    <w:rsid w:val="009C360D"/>
    <w:rsid w:val="009D1F94"/>
    <w:rsid w:val="009F320D"/>
    <w:rsid w:val="009F393F"/>
    <w:rsid w:val="00A03187"/>
    <w:rsid w:val="00A040E5"/>
    <w:rsid w:val="00A06B77"/>
    <w:rsid w:val="00A21B78"/>
    <w:rsid w:val="00A27EC3"/>
    <w:rsid w:val="00A52F2A"/>
    <w:rsid w:val="00A53057"/>
    <w:rsid w:val="00A54AE1"/>
    <w:rsid w:val="00A551FE"/>
    <w:rsid w:val="00A56E7A"/>
    <w:rsid w:val="00A67CEF"/>
    <w:rsid w:val="00A80F55"/>
    <w:rsid w:val="00A85359"/>
    <w:rsid w:val="00AB65A1"/>
    <w:rsid w:val="00AB7666"/>
    <w:rsid w:val="00AC047A"/>
    <w:rsid w:val="00AD18A7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36A"/>
    <w:rsid w:val="00B2051E"/>
    <w:rsid w:val="00B20642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C05A73"/>
    <w:rsid w:val="00C06E4B"/>
    <w:rsid w:val="00C12C77"/>
    <w:rsid w:val="00C143BA"/>
    <w:rsid w:val="00C15032"/>
    <w:rsid w:val="00C30033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40DB"/>
    <w:rsid w:val="00CC72DD"/>
    <w:rsid w:val="00CC7BE8"/>
    <w:rsid w:val="00CD5FC4"/>
    <w:rsid w:val="00CE3F9C"/>
    <w:rsid w:val="00CE4B89"/>
    <w:rsid w:val="00CE504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0A4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DF233A"/>
    <w:rsid w:val="00E00912"/>
    <w:rsid w:val="00E061EC"/>
    <w:rsid w:val="00E06AF6"/>
    <w:rsid w:val="00E175D5"/>
    <w:rsid w:val="00E17734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64FF4"/>
    <w:rsid w:val="00F72204"/>
    <w:rsid w:val="00F72680"/>
    <w:rsid w:val="00F824F4"/>
    <w:rsid w:val="00F8538A"/>
    <w:rsid w:val="00F85A10"/>
    <w:rsid w:val="00F87146"/>
    <w:rsid w:val="00F90591"/>
    <w:rsid w:val="00F9567E"/>
    <w:rsid w:val="00F962CC"/>
    <w:rsid w:val="00FA0837"/>
    <w:rsid w:val="00FA148D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B61BD-7B89-4D34-947D-E91757F9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12</Pages>
  <Words>2930</Words>
  <Characters>16703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324</cp:revision>
  <cp:lastPrinted>2021-02-19T04:29:00Z</cp:lastPrinted>
  <dcterms:created xsi:type="dcterms:W3CDTF">2018-04-25T07:36:00Z</dcterms:created>
  <dcterms:modified xsi:type="dcterms:W3CDTF">2021-02-22T09:11:00Z</dcterms:modified>
</cp:coreProperties>
</file>